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A4EC3B" w14:textId="77777777" w:rsidR="00853102" w:rsidRDefault="00000000">
      <w:pPr>
        <w:spacing w:before="800" w:after="200"/>
      </w:pPr>
      <w:r>
        <w:rPr>
          <w:rFonts w:ascii="Arial" w:eastAsia="Arial" w:hAnsi="Arial" w:cs="Arial"/>
          <w:b/>
          <w:bCs/>
          <w:color w:val="1F3864"/>
          <w:sz w:val="44"/>
          <w:szCs w:val="44"/>
        </w:rPr>
        <w:t>Skolevægring og hemmasittare</w:t>
      </w:r>
    </w:p>
    <w:p w14:paraId="5607833A" w14:textId="77777777" w:rsidR="00853102" w:rsidRDefault="00000000">
      <w:pPr>
        <w:spacing w:after="600"/>
      </w:pPr>
      <w:r>
        <w:rPr>
          <w:rFonts w:ascii="Arial" w:eastAsia="Arial" w:hAnsi="Arial" w:cs="Arial"/>
          <w:i/>
          <w:iCs/>
          <w:color w:val="2E75B6"/>
          <w:sz w:val="28"/>
          <w:szCs w:val="28"/>
        </w:rPr>
        <w:t>Forskellige forståelser af et fælles problem – og hvad Danmark bør fokusere på fremadrettet</w:t>
      </w:r>
    </w:p>
    <w:p w14:paraId="79422235" w14:textId="77777777" w:rsidR="00853102" w:rsidRDefault="00853102">
      <w:pPr>
        <w:pBdr>
          <w:bottom w:val="single" w:sz="8" w:space="1" w:color="2E75B6"/>
        </w:pBdr>
        <w:spacing w:after="400"/>
      </w:pPr>
    </w:p>
    <w:p w14:paraId="792738CC" w14:textId="77777777" w:rsidR="00853102" w:rsidRDefault="00000000">
      <w:pPr>
        <w:spacing w:after="100"/>
      </w:pPr>
      <w:r>
        <w:rPr>
          <w:rFonts w:ascii="Arial" w:eastAsia="Arial" w:hAnsi="Arial" w:cs="Arial"/>
          <w:b/>
          <w:bCs/>
          <w:color w:val="1F3864"/>
          <w:sz w:val="22"/>
          <w:szCs w:val="22"/>
        </w:rPr>
        <w:t>Resume</w:t>
      </w:r>
    </w:p>
    <w:p w14:paraId="70BAD960" w14:textId="77777777" w:rsidR="00853102" w:rsidRDefault="00000000">
      <w:pPr>
        <w:spacing w:after="120" w:line="320" w:lineRule="auto"/>
        <w:ind w:left="400" w:right="400"/>
      </w:pPr>
      <w:r>
        <w:rPr>
          <w:i/>
          <w:iCs/>
          <w:sz w:val="22"/>
          <w:szCs w:val="22"/>
        </w:rPr>
        <w:t>Børn og unge, der ikke kommer i skole, forstås og navngives markant forskelligt på tværs af lande. Danmark anvender begrebet “skolevægring”, Sverige “hemmasittare”, den engelsksprogede verden “school refusal behavior” og Tyskland “Schulverweigerung”/“Schulabsentismus”. Bag disse begreber gemmer sig ikke blot terminologiske valg, men fundamentalt forskellige opfattelser af, hvornår problemet begynder, hvem der bærer ansvaret, og hvornår indsatsen bør sættes ind. Denne artikel analyserer de fire landes tilgange komparativt og identificerer den afgørende forskel: Sverige og den internationale forskning fokuserer på tidlige tegn og forebyggelse, mens dansk praksis og forskning traditionelt har været reaktiv og opsporing-baseret. Artiklen argumenterer for, at Danmark bør læne sig op ad de svenske og internationale erfaringer og etablere et tydeligere forebyggelsesorienteret paradigme.</w:t>
      </w:r>
    </w:p>
    <w:p w14:paraId="4B322E09" w14:textId="77777777" w:rsidR="00853102" w:rsidRDefault="00000000">
      <w:pPr>
        <w:spacing w:before="80" w:after="400"/>
        <w:ind w:left="400"/>
      </w:pPr>
      <w:r>
        <w:rPr>
          <w:i/>
          <w:iCs/>
          <w:color w:val="666666"/>
          <w:sz w:val="20"/>
          <w:szCs w:val="20"/>
        </w:rPr>
        <w:t>Nøgleord: skolevægring, hemmasittare, skolefravær, tidlig indsats, komparativ uddannelsesforskning, forebyggelse</w:t>
      </w:r>
    </w:p>
    <w:p w14:paraId="5F1CFA57" w14:textId="77777777" w:rsidR="00853102" w:rsidRDefault="00853102">
      <w:pPr>
        <w:pBdr>
          <w:bottom w:val="single" w:sz="4" w:space="1" w:color="CCCCCC"/>
        </w:pBdr>
        <w:spacing w:after="400"/>
      </w:pPr>
    </w:p>
    <w:p w14:paraId="75BCCB19" w14:textId="77777777" w:rsidR="00853102" w:rsidRDefault="00000000">
      <w:pPr>
        <w:pStyle w:val="Overskrift1"/>
      </w:pPr>
      <w:r>
        <w:t>1. Indledning</w:t>
      </w:r>
    </w:p>
    <w:p w14:paraId="66C862B5" w14:textId="77777777" w:rsidR="00853102" w:rsidRDefault="00000000">
      <w:pPr>
        <w:spacing w:after="240" w:line="360" w:lineRule="auto"/>
      </w:pPr>
      <w:r>
        <w:t>Hvert år sidder tusindvis af børn og unge i Danmark, Sverige, Storbritannien og Tyskland hjemme frem for i skolen – ikke på grund af forkølelse eller familieferie, men fordi noget er gået galt. Problemet vokser. Men måden, vi forstår, registrerer og handler på det, er forbløffende forskellig fra land til land.</w:t>
      </w:r>
    </w:p>
    <w:p w14:paraId="307FB7DC" w14:textId="77777777" w:rsidR="00853102" w:rsidRDefault="00000000">
      <w:pPr>
        <w:spacing w:after="240" w:line="360" w:lineRule="auto"/>
      </w:pPr>
      <w:r>
        <w:t xml:space="preserve">I Danmark taler vi om </w:t>
      </w:r>
      <w:r>
        <w:rPr>
          <w:i/>
          <w:iCs/>
        </w:rPr>
        <w:t>skolevægring</w:t>
      </w:r>
      <w:r>
        <w:t xml:space="preserve">. I Sverige om </w:t>
      </w:r>
      <w:r>
        <w:rPr>
          <w:i/>
          <w:iCs/>
        </w:rPr>
        <w:t>hemmasittare</w:t>
      </w:r>
      <w:r>
        <w:t xml:space="preserve"> – bogstaveligt talt “hjemmesidderne”. I England og USA handler forskningen om </w:t>
      </w:r>
      <w:r>
        <w:rPr>
          <w:i/>
          <w:iCs/>
        </w:rPr>
        <w:t>school refusal behavior</w:t>
      </w:r>
      <w:r>
        <w:t xml:space="preserve">. I Tyskland bruges begreberne </w:t>
      </w:r>
      <w:r>
        <w:rPr>
          <w:i/>
          <w:iCs/>
        </w:rPr>
        <w:t>Schulverweigerung</w:t>
      </w:r>
      <w:r>
        <w:t xml:space="preserve"> og </w:t>
      </w:r>
      <w:r>
        <w:rPr>
          <w:i/>
          <w:iCs/>
        </w:rPr>
        <w:t>Schulabsentismus</w:t>
      </w:r>
      <w:r>
        <w:t xml:space="preserve">. Disse begreber er ikke blot sproglige varianter af det samme fænomen. De afspejler dybt forskellige </w:t>
      </w:r>
      <w:r>
        <w:lastRenderedPageBreak/>
        <w:t>opfattelser af, hvad problemet er, hvem der er skyld i det, og hvornår systemet bør gribe ind.</w:t>
      </w:r>
    </w:p>
    <w:p w14:paraId="2EBD414C" w14:textId="4C82D70C" w:rsidR="00853102" w:rsidRDefault="00000000">
      <w:pPr>
        <w:spacing w:after="240" w:line="360" w:lineRule="auto"/>
      </w:pPr>
      <w:r>
        <w:t>Den måske vigtigste forskel er tidsmæssig. Svensk og international forskning er i bred enighed om, at problematisk skolefravær be</w:t>
      </w:r>
      <w:r w:rsidR="00D84B77">
        <w:t>gynder</w:t>
      </w:r>
      <w:r>
        <w:t xml:space="preserve"> længe før det egentlige, synlige fravær. De tidlige signaler – somatiske klager om morgenen, tilbagevendende modstand, ængstelig adfærd søndagen inden skoleugen – udgør en kritisk interventionszone, som systemet bør agere på. I Danmark har fokus derimod traditionelt ligget på det fravær, skolen </w:t>
      </w:r>
      <w:r>
        <w:rPr>
          <w:i/>
          <w:iCs/>
        </w:rPr>
        <w:t>opdager</w:t>
      </w:r>
      <w:r>
        <w:t xml:space="preserve"> og registrerer. Denne artikel analyserer disse forskelle og spørger: Hvad kan Danmark lære, og hvad bør der fokuseres på fremadrettet?</w:t>
      </w:r>
    </w:p>
    <w:p w14:paraId="2D7EDA4D" w14:textId="77777777" w:rsidR="00853102" w:rsidRDefault="00000000">
      <w:pPr>
        <w:pStyle w:val="Overskrift1"/>
      </w:pPr>
      <w:r>
        <w:t>2. Begrebslig og historisk kontekst</w:t>
      </w:r>
    </w:p>
    <w:p w14:paraId="76897FB4" w14:textId="77777777" w:rsidR="00853102" w:rsidRDefault="00000000">
      <w:pPr>
        <w:spacing w:after="240" w:line="360" w:lineRule="auto"/>
      </w:pPr>
      <w:r>
        <w:t>Før de enkelte landes tilgange kan sammenlignes, er det nødvendigt at forstå den begrebshistorie, der former dem. Fænomenet er ikke nyt – det er forståelsen af det, der er under forandring.</w:t>
      </w:r>
    </w:p>
    <w:p w14:paraId="13F52463" w14:textId="77777777" w:rsidR="00853102" w:rsidRDefault="00000000">
      <w:pPr>
        <w:pStyle w:val="Overskrift2"/>
      </w:pPr>
      <w:r>
        <w:t>2.1 Fra skolefobi til skolevægring til problematisk fravær</w:t>
      </w:r>
    </w:p>
    <w:p w14:paraId="3E81B784" w14:textId="77777777" w:rsidR="00853102" w:rsidRDefault="00000000">
      <w:pPr>
        <w:spacing w:after="240" w:line="360" w:lineRule="auto"/>
      </w:pPr>
      <w:r>
        <w:t xml:space="preserve">Det engelske begreb </w:t>
      </w:r>
      <w:r>
        <w:rPr>
          <w:i/>
          <w:iCs/>
        </w:rPr>
        <w:t>school phobia</w:t>
      </w:r>
      <w:r>
        <w:t xml:space="preserve"> dukker op allerede i 1940’erne og henlægger forklaringen til barnet: et angstpræget barn, der er irrationelt bange for skolen. Dette var den dominerende forståelse i vores del af verden frem mod 1990’erne. Problemet med begrebet er, at det dels stigmatiserer barnet, dels frakender systemet ethvert ansvar, og dels fokuserer på et ekstremt endepunkt frem for på et forløb.</w:t>
      </w:r>
    </w:p>
    <w:p w14:paraId="116A1CB8" w14:textId="77777777" w:rsidR="00853102" w:rsidRDefault="00000000">
      <w:pPr>
        <w:spacing w:after="240" w:line="360" w:lineRule="auto"/>
      </w:pPr>
      <w:r>
        <w:t xml:space="preserve">I 1990’erne introducerer den amerikanske psykolog Christopher A. Kearney begrebet </w:t>
      </w:r>
      <w:r>
        <w:rPr>
          <w:i/>
          <w:iCs/>
        </w:rPr>
        <w:t>school refusal behavior</w:t>
      </w:r>
      <w:r>
        <w:t xml:space="preserve"> som et paraplybegreb, der dækker et bredt spektrum af problematisk fravær uanset årsag og udtryk (Kearney, 2001). Kearney betoner fraværsadfærdens </w:t>
      </w:r>
      <w:r>
        <w:rPr>
          <w:i/>
          <w:iCs/>
        </w:rPr>
        <w:t>funktion</w:t>
      </w:r>
      <w:r>
        <w:t xml:space="preserve"> – ikke dens form – og identificerer fire mulige funktioner: undgåelse af negative stimuli, flugt fra sociale situationer, søgen om opmærksomhed og positiv forstærkning (fx at få lov at spille computer derhjemme). Dette paradigmeskift åbnede for en nuanceret og multifaktoriel forståelse af fænomenet, som siden har sat sig igennem internationalt.</w:t>
      </w:r>
    </w:p>
    <w:p w14:paraId="2EDC898C" w14:textId="5280C4F2" w:rsidR="00853102" w:rsidRDefault="00000000">
      <w:pPr>
        <w:spacing w:after="240" w:line="360" w:lineRule="auto"/>
      </w:pPr>
      <w:r>
        <w:t xml:space="preserve">Parallelt hermed begynder man i Sverige at tale om </w:t>
      </w:r>
      <w:r>
        <w:rPr>
          <w:i/>
          <w:iCs/>
        </w:rPr>
        <w:t>hemmasittare</w:t>
      </w:r>
      <w:r>
        <w:t>, og i begyndelsen af 2000’erne etableres en systematisk svensk forskningstradition an</w:t>
      </w:r>
      <w:r w:rsidR="00D84B77">
        <w:t>f</w:t>
      </w:r>
      <w:r>
        <w:t xml:space="preserve">ørt bl.a. af psykolog og forsker Malin Gren Landell. I Danmark er tilsvarende forskning på dansk betingelse </w:t>
      </w:r>
      <w:r>
        <w:lastRenderedPageBreak/>
        <w:t>nærmest fraværende frem til begyndelsen af 2020’erne – et forhold, der i sig selv afspejler en lavere grad af opmærksomhed på problemet.</w:t>
      </w:r>
    </w:p>
    <w:p w14:paraId="5D959D5E" w14:textId="77777777" w:rsidR="00853102" w:rsidRDefault="00000000">
      <w:pPr>
        <w:pStyle w:val="Overskrift1"/>
      </w:pPr>
      <w:r>
        <w:t>3. Sverige: Hemmasittare og det tidlige blik</w:t>
      </w:r>
    </w:p>
    <w:p w14:paraId="4FC3135D" w14:textId="77777777" w:rsidR="00853102" w:rsidRDefault="00000000">
      <w:pPr>
        <w:spacing w:after="240" w:line="360" w:lineRule="auto"/>
      </w:pPr>
      <w:r>
        <w:t>Den svenske forståelse af problematisk skolefravær er i international målestok relativt veludviklet og kendetegnes ved tre træk: et tidligt forebyggelsesfokus, en systemisk førstelinjeforskning og en vis grad af begrebslig selvkritik.</w:t>
      </w:r>
    </w:p>
    <w:p w14:paraId="09CAA610" w14:textId="77777777" w:rsidR="00853102" w:rsidRDefault="00000000">
      <w:pPr>
        <w:pStyle w:val="Overskrift2"/>
      </w:pPr>
      <w:r>
        <w:t>3.1 Det tidlige forebyggelsesfokus</w:t>
      </w:r>
    </w:p>
    <w:p w14:paraId="3E516E08" w14:textId="3916BAA9" w:rsidR="00853102" w:rsidRDefault="00000000">
      <w:pPr>
        <w:spacing w:after="240" w:line="360" w:lineRule="auto"/>
      </w:pPr>
      <w:r>
        <w:t xml:space="preserve">Gren Landell, der er en af de centrale figurer i svensk forskning på området, argumenterer konsekvent for, at problematisk skolefravær begynder længe inden, det synlige fravær er evident. Hendes forskning peger på en kritisk grænseværdi: ved 10% fravær sker der et </w:t>
      </w:r>
      <w:r>
        <w:rPr>
          <w:i/>
          <w:iCs/>
        </w:rPr>
        <w:t>tipping point</w:t>
      </w:r>
      <w:r>
        <w:t>, hvor risikoen for psykisk uh</w:t>
      </w:r>
      <w:r w:rsidR="00D84B77">
        <w:t>älsa</w:t>
      </w:r>
      <w:r>
        <w:t>, faglige problemer og misbrug eskalerer markant. Men pointen er, at problemer begynder lang tid før dette punkt – og at in</w:t>
      </w:r>
      <w:r w:rsidR="00D84B77">
        <w:t>d</w:t>
      </w:r>
      <w:r>
        <w:t>satser må komme i samme tidsrum (Gren Landell, 2021).</w:t>
      </w:r>
    </w:p>
    <w:p w14:paraId="54F707EA" w14:textId="77777777" w:rsidR="00853102" w:rsidRDefault="00000000">
      <w:pPr>
        <w:spacing w:after="240" w:line="360" w:lineRule="auto"/>
      </w:pPr>
      <w:r>
        <w:t>Denne forståelse fører til et fokus på tidlige signaler i hverdagslivet: det barn, der klager over mavepine om morgenen; den elev, der søndagen inden mandag konsekvent får ondt; den unge, der sætter sig imod bestemte lektioner. Svensk forskning og pædagogisk vejledning inviterer systemet til at opmærksomgøre disse mønstre, endnu før de har manifesteret sig som egentligt registrerbart fravær.</w:t>
      </w:r>
    </w:p>
    <w:p w14:paraId="23F78223" w14:textId="77777777" w:rsidR="00853102" w:rsidRDefault="00000000">
      <w:pPr>
        <w:pStyle w:val="Overskrift2"/>
      </w:pPr>
      <w:r>
        <w:t>3.2 Systemisk og strukturel forståelse</w:t>
      </w:r>
    </w:p>
    <w:p w14:paraId="6948424B" w14:textId="438CC736" w:rsidR="00853102" w:rsidRDefault="00000000">
      <w:pPr>
        <w:spacing w:after="240" w:line="360" w:lineRule="auto"/>
      </w:pPr>
      <w:r>
        <w:t>Et andet svært træk ved den svenske tilgang er, at årsagerne til hemmasittande i litteraturen opfattes som tref</w:t>
      </w:r>
      <w:r w:rsidR="00E17398">
        <w:t>oldig</w:t>
      </w:r>
      <w:r>
        <w:t xml:space="preserve">: skolemiljø, hjemmemiljø og individfaktorer </w:t>
      </w:r>
      <w:r w:rsidR="00D84B77">
        <w:t xml:space="preserve">i </w:t>
      </w:r>
      <w:r>
        <w:t>samspi</w:t>
      </w:r>
      <w:r w:rsidR="00D84B77">
        <w:t>l</w:t>
      </w:r>
      <w:r>
        <w:t xml:space="preserve"> (Petäjä &amp; Kindblad, 2017–2020). Neuro</w:t>
      </w:r>
      <w:r w:rsidR="00E17398">
        <w:t xml:space="preserve"> </w:t>
      </w:r>
      <w:r>
        <w:t xml:space="preserve">psykiatriske funktionsnedsættelser (NPF – ADHD, autisme, angst) er markant overrepræsenterede blandt de fraværende: Riksförbundet Attention (2024) angiver, at op til en fjerdedel af elever med NPF er hjemme det meste af skoletiden. Men konklusionen er ikke, at NPF er </w:t>
      </w:r>
      <w:r>
        <w:rPr>
          <w:i/>
          <w:iCs/>
        </w:rPr>
        <w:t>grunden</w:t>
      </w:r>
      <w:r>
        <w:t xml:space="preserve"> til fraværet, men at skolen ikke i tilstrækkelig grad har formået at tilrettelægge undervisning for disse elevers særlige forudsætninger.</w:t>
      </w:r>
    </w:p>
    <w:p w14:paraId="14241F53" w14:textId="0767F739" w:rsidR="00853102" w:rsidRDefault="00000000">
      <w:pPr>
        <w:spacing w:after="240" w:line="360" w:lineRule="auto"/>
      </w:pPr>
      <w:r>
        <w:t xml:space="preserve">Tobias Forsells ph.d.-afhandling </w:t>
      </w:r>
      <w:r>
        <w:rPr>
          <w:i/>
          <w:iCs/>
        </w:rPr>
        <w:t>Man är ju typ elev fast på avstånd</w:t>
      </w:r>
      <w:r>
        <w:t xml:space="preserve"> (2022) fra Umeå Universitet er illustrativ for dette perspektiv. Titlen er et citat fra en elev med langvarigt </w:t>
      </w:r>
      <w:r>
        <w:lastRenderedPageBreak/>
        <w:t>skolefravær og fanger noget centralt: eleven er ikke ophørt med at være elev, men er blot gået på afstand. Forsell argumenterer for paraplybetegnelsen “problematisk skolefravær” som mere neutral og mere produktiv end “hemmasittare”, der som etiket rummer indb</w:t>
      </w:r>
      <w:r w:rsidR="00D84B77">
        <w:t>yggede</w:t>
      </w:r>
      <w:r>
        <w:t xml:space="preserve"> antagelser om årsag og ansvar.</w:t>
      </w:r>
    </w:p>
    <w:p w14:paraId="48D27218" w14:textId="77777777" w:rsidR="00853102" w:rsidRDefault="00000000">
      <w:pPr>
        <w:pStyle w:val="Overskrift2"/>
      </w:pPr>
      <w:r>
        <w:t>3.3 Selvkritik og begrebsudvikling</w:t>
      </w:r>
    </w:p>
    <w:p w14:paraId="4C6FCC5F" w14:textId="77777777" w:rsidR="00853102" w:rsidRDefault="00000000">
      <w:pPr>
        <w:spacing w:after="240" w:line="360" w:lineRule="auto"/>
      </w:pPr>
      <w:r>
        <w:t>Det er værd at bemærke, at svensk forskning også er selvkritisk. Begrebet “hemmasittare” er under pres: Petäjä foretrækker ELOF (”Elever med Långvarig och Oroande Frånvaro”), og Forsell argumenterer for, at alle etiketter risikerer at placere forklaringen i eleven frem for i systemet. Denne begrebslige selvbevidsthed er i sig selv en del af den svenske styrke på området.</w:t>
      </w:r>
    </w:p>
    <w:p w14:paraId="7800478D" w14:textId="77777777" w:rsidR="00853102" w:rsidRDefault="00000000">
      <w:pPr>
        <w:pStyle w:val="Overskrift1"/>
      </w:pPr>
      <w:r>
        <w:t>4. Danmark: Skolevægring og det reaktive blik</w:t>
      </w:r>
    </w:p>
    <w:p w14:paraId="3DC5F3C5" w14:textId="77777777" w:rsidR="00853102" w:rsidRDefault="00000000">
      <w:pPr>
        <w:spacing w:after="240" w:line="360" w:lineRule="auto"/>
      </w:pPr>
      <w:r>
        <w:t>Dansk forskning om skolevægring er et ung og stadig voksende felt. Det er et hæderligt udgangspunkt at erkende: Danmark er i dette spørgsmål på vågerne. Feltet er i vækst, men der er afgørende huller.</w:t>
      </w:r>
    </w:p>
    <w:p w14:paraId="6E2596AB" w14:textId="77777777" w:rsidR="00853102" w:rsidRDefault="00000000">
      <w:pPr>
        <w:pStyle w:val="Overskrift2"/>
      </w:pPr>
      <w:r>
        <w:t>4.1 Et sent fokus</w:t>
      </w:r>
    </w:p>
    <w:p w14:paraId="3312109D" w14:textId="232688B6" w:rsidR="00853102" w:rsidRDefault="00000000">
      <w:pPr>
        <w:spacing w:after="240" w:line="360" w:lineRule="auto"/>
      </w:pPr>
      <w:r>
        <w:t xml:space="preserve">Da forskeren Frederikke Skaaning Knage søgte forskningsmidler til sin ph.d. om skolevægring i 2017, fandtes der næsten ingen viden på feltet i dansk kontekst. International forskning pegede primært på forhold i barnet selv. Knages eget </w:t>
      </w:r>
      <w:r w:rsidR="00D84B77">
        <w:t>review</w:t>
      </w:r>
      <w:r>
        <w:t xml:space="preserve"> (2023), der gennemgår 162 forskningsartikler, viser, at kun seks til syv inddrog børnenes egne perspektiver – en systematisk blindhed, der også afspejles i den danske forskningstradition.</w:t>
      </w:r>
    </w:p>
    <w:p w14:paraId="57141F7D" w14:textId="59216FA5" w:rsidR="00853102" w:rsidRDefault="00000000">
      <w:pPr>
        <w:spacing w:after="240" w:line="360" w:lineRule="auto"/>
      </w:pPr>
      <w:r>
        <w:t>Dumstrei (2023) konkluderer i sit state-of-the-art litteraturstudie, at der fortsat savnes forskning om skolevægring som et kontekstuelt og komplekst problem i dansk kontekst. Den forskning, der eksisterer, er i vid udstrækning rekvirerede rapporter (Metodecentret), praktikertætte artikler (Thomsen 2021) eller enkeltstud</w:t>
      </w:r>
      <w:r w:rsidR="00D84B77">
        <w:t>e</w:t>
      </w:r>
      <w:r>
        <w:t>re</w:t>
      </w:r>
      <w:r w:rsidR="00D84B77">
        <w:t>n</w:t>
      </w:r>
      <w:r>
        <w:t>de ph.d.-projekter. Den solide empiriske basis, der kendetegner f.eks. Kearneys arbejde i USA, mangler.</w:t>
      </w:r>
    </w:p>
    <w:p w14:paraId="3A08F10D" w14:textId="77777777" w:rsidR="00853102" w:rsidRDefault="00000000">
      <w:pPr>
        <w:pStyle w:val="Overskrift2"/>
      </w:pPr>
      <w:r>
        <w:t>4.2 Det reaktive mønster</w:t>
      </w:r>
    </w:p>
    <w:p w14:paraId="0414561E" w14:textId="77777777" w:rsidR="00853102" w:rsidRDefault="00000000">
      <w:pPr>
        <w:spacing w:after="240" w:line="360" w:lineRule="auto"/>
      </w:pPr>
      <w:r>
        <w:t xml:space="preserve">Det måske vigtigste strukturelle problem i den danske tilgang er, at systemet er indrettet til at reagere på fravær, når det er registreret og evident – ikke til at forebygge, når det er </w:t>
      </w:r>
      <w:r>
        <w:lastRenderedPageBreak/>
        <w:t>under opbygning. Metodecentrets (2023) litteraturstudie bekræfter, at tidlig indsats er afgørende, og at systematisk fraværsregistrering og godt skole-hjemsamarbejde er forudsætninger. Men i praksis varierer fraværsregistreringen markant fra skole til skole, og der eksisterer ingen national standard for, hvornår fravær bør udløse en systematisk række af handlinger.</w:t>
      </w:r>
    </w:p>
    <w:p w14:paraId="1B3880F0" w14:textId="77777777" w:rsidR="00853102" w:rsidRDefault="00000000">
      <w:pPr>
        <w:spacing w:after="240" w:line="360" w:lineRule="auto"/>
      </w:pPr>
      <w:r>
        <w:t xml:space="preserve">Ph.d.-projektet </w:t>
      </w:r>
      <w:r>
        <w:rPr>
          <w:i/>
          <w:iCs/>
        </w:rPr>
        <w:t>Re-fusing school refusal</w:t>
      </w:r>
      <w:r>
        <w:t xml:space="preserve"> (Lund, 2023) tegner et portræt af det, der sker i praksis: børn og forældre bruger umådelige mængder af tid på at søge diagnoser, der kan legitimere fraværet og lette presset på familien. Professionelle fra skole og PPR søger klare forklaringer, der passer ind i eksisterende kategorier. Resultatet er, at opmærksomheden flyttes fra de komplekse hverdagssammenhænge, der skaber fraværet, til en diagnostisk afklaring, der kommer sent og sjældent fører til tilstrækkelig tidlig handling.</w:t>
      </w:r>
    </w:p>
    <w:p w14:paraId="61B727F7" w14:textId="77777777" w:rsidR="00853102" w:rsidRDefault="00000000">
      <w:pPr>
        <w:pStyle w:val="Overskrift2"/>
      </w:pPr>
      <w:r>
        <w:t>4.3 Ansvarsspørgsmålet</w:t>
      </w:r>
    </w:p>
    <w:p w14:paraId="4A851216" w14:textId="0965BAD8" w:rsidR="00853102" w:rsidRDefault="00000000">
      <w:pPr>
        <w:spacing w:after="240" w:line="360" w:lineRule="auto"/>
      </w:pPr>
      <w:r>
        <w:t xml:space="preserve">En særlig dansk problematik er ansvarsspørgsmålet. Skolevægring som begreb antyder, at barnet </w:t>
      </w:r>
      <w:r>
        <w:rPr>
          <w:i/>
          <w:iCs/>
        </w:rPr>
        <w:t>vælger</w:t>
      </w:r>
      <w:r>
        <w:t xml:space="preserve"> skolen fra – hvilket i praksis kan skubbe forklaringen i retning af barnet og familien. I særlig alvorlige tilfælde anmelder skolen familien til socialforvaltningen som følge af overtrædelse af skolepligten, og i sjældne tilfælde er forældre blevet true</w:t>
      </w:r>
      <w:r w:rsidR="00D84B77">
        <w:t>t</w:t>
      </w:r>
      <w:r>
        <w:t xml:space="preserve"> med bøder. Petäjä – der, trods sin svenske tilknytning, har studeret tilsvarende dynamikker – bemærker, at bøder ikke løser problemet: ”Alle forældre vil, at deres barn skal gå i skole” (Petäjä, 2017). Ansvarsbolden kastes i stedet frem og tilbage mellem skole og hjem.</w:t>
      </w:r>
    </w:p>
    <w:p w14:paraId="6E13AA49" w14:textId="77777777" w:rsidR="00853102" w:rsidRDefault="00000000">
      <w:pPr>
        <w:pStyle w:val="Overskrift1"/>
      </w:pPr>
      <w:r>
        <w:t>5. Internationale perspektiver: England, USA og Tyskland</w:t>
      </w:r>
    </w:p>
    <w:p w14:paraId="037899A0" w14:textId="77777777" w:rsidR="00853102" w:rsidRDefault="00000000">
      <w:pPr>
        <w:pStyle w:val="Overskrift2"/>
      </w:pPr>
      <w:r>
        <w:t>5.1 Den angloamerikanske forskningstradition</w:t>
      </w:r>
    </w:p>
    <w:p w14:paraId="44AA4034" w14:textId="77777777" w:rsidR="00853102" w:rsidRDefault="00000000">
      <w:pPr>
        <w:spacing w:after="240" w:line="360" w:lineRule="auto"/>
      </w:pPr>
      <w:r>
        <w:t>Den internationale – primært angloamerikanske – forskningstradition om school refusal er markant mere omfangsrig end nogen skandinavisk tradition. USA, England, Spanien, Japan og Australien er de førende forskningstraditioner (Frontiers in Psychology, 2024). Christopher A. Kearney, der siden 1990’erne har været feltets måske mest indflydelsesrige forsker, har leveret en række afgørende bidrag.</w:t>
      </w:r>
    </w:p>
    <w:p w14:paraId="526DE3C1" w14:textId="77777777" w:rsidR="00853102" w:rsidRDefault="00000000">
      <w:pPr>
        <w:spacing w:after="240" w:line="360" w:lineRule="auto"/>
      </w:pPr>
      <w:r>
        <w:t xml:space="preserve">Kearneys funktionelle model (2001, 2007) er fundamental. I stedet for at spørge </w:t>
      </w:r>
      <w:r>
        <w:rPr>
          <w:i/>
          <w:iCs/>
        </w:rPr>
        <w:t>hvad</w:t>
      </w:r>
      <w:r>
        <w:t xml:space="preserve"> barnet fejler, spørger modellen: </w:t>
      </w:r>
      <w:r>
        <w:rPr>
          <w:i/>
          <w:iCs/>
        </w:rPr>
        <w:t>hvad opnår barnet ved ikke at gå i skole?</w:t>
      </w:r>
      <w:r>
        <w:t xml:space="preserve"> De fire funktioner – undgåelse af angst, flugt fra sociale situationer, opmærksomhed fra forældre og positiv forstærkning – leder til forskellige interventioner. Behandlingsmanualen </w:t>
      </w:r>
      <w:r>
        <w:rPr>
          <w:i/>
          <w:iCs/>
        </w:rPr>
        <w:t xml:space="preserve">When </w:t>
      </w:r>
      <w:r>
        <w:rPr>
          <w:i/>
          <w:iCs/>
        </w:rPr>
        <w:lastRenderedPageBreak/>
        <w:t>Children Refuse School</w:t>
      </w:r>
      <w:r>
        <w:t xml:space="preserve"> (Kearney &amp; Albano, 2018) er i dag standard i klinisk praksis i store dele af den engelsksprogede verden.</w:t>
      </w:r>
    </w:p>
    <w:p w14:paraId="5CC74D49" w14:textId="77777777" w:rsidR="00853102" w:rsidRDefault="00000000">
      <w:pPr>
        <w:spacing w:after="240" w:line="360" w:lineRule="auto"/>
      </w:pPr>
      <w:r>
        <w:t xml:space="preserve">Et centralt norsk-hollandsk bidrag er Ingul, Havik og Heynes artikel </w:t>
      </w:r>
      <w:r>
        <w:rPr>
          <w:i/>
          <w:iCs/>
        </w:rPr>
        <w:t>Emerging School Refusal</w:t>
      </w:r>
      <w:r>
        <w:t xml:space="preserve"> (2019), der adresserer præcis det spørgsmål, der er centralt for denne artikels argument: Hvordan identificerer systemet tidlige tegn på skolevægring, før fraværet er manifest? Artiklen tilbyder et skolerelateret rammeværk til tidlig opsporing og peger på konkrete advarselssignaler. Den er, i al sin korthed, et af de mest direkte bidrag til det forebyggende paradigme.</w:t>
      </w:r>
    </w:p>
    <w:p w14:paraId="64ECD21E" w14:textId="77777777" w:rsidR="00853102" w:rsidRDefault="00000000">
      <w:pPr>
        <w:spacing w:after="240" w:line="360" w:lineRule="auto"/>
      </w:pPr>
      <w:r>
        <w:t>Maynard et al.’s systematiske review (2014–2015) åbner et ubehageligt vindue: på trods af mange årtiers forskning er den eksperimentelle evidensbase for interventioner svag. KBT er det bedst dokumenterede, men også KBT er utilstrækkelig givet fænomenets heterogenitet. Det betyder ikke, at man ikke ved, hvad man bør gøre – men at effektstudier med solide designs fortsat mangler.</w:t>
      </w:r>
    </w:p>
    <w:p w14:paraId="6C45B89D" w14:textId="77777777" w:rsidR="00853102" w:rsidRDefault="00000000">
      <w:pPr>
        <w:pStyle w:val="Overskrift2"/>
      </w:pPr>
      <w:r>
        <w:t>5.2 Den tyske tradition: Schulabsentismus</w:t>
      </w:r>
    </w:p>
    <w:p w14:paraId="49C85892" w14:textId="77777777" w:rsidR="00853102" w:rsidRDefault="00000000">
      <w:pPr>
        <w:spacing w:after="240" w:line="360" w:lineRule="auto"/>
      </w:pPr>
      <w:r>
        <w:t xml:space="preserve">Den tysksprogede tradition adskiller sig fra den angloamerikanske ved en tydeligere socialpædagogisk og systemkritisk orientering. Det centrale begrebspar er </w:t>
      </w:r>
      <w:r>
        <w:rPr>
          <w:i/>
          <w:iCs/>
        </w:rPr>
        <w:t>Schulverweigerung</w:t>
      </w:r>
      <w:r>
        <w:t xml:space="preserve"> (skolevægring) og </w:t>
      </w:r>
      <w:r>
        <w:rPr>
          <w:i/>
          <w:iCs/>
        </w:rPr>
        <w:t>Schulabsentismus</w:t>
      </w:r>
      <w:r>
        <w:t xml:space="preserve"> (skolefravær), hvor det sidstnævnte er det mere omfattende paraplybegreb.</w:t>
      </w:r>
    </w:p>
    <w:p w14:paraId="25FAA458" w14:textId="0AC33D49" w:rsidR="00853102" w:rsidRDefault="00000000">
      <w:pPr>
        <w:spacing w:after="240" w:line="360" w:lineRule="auto"/>
      </w:pPr>
      <w:r>
        <w:t xml:space="preserve">Heinrich Ricking (2003) er en af de vigtigste tyske stemmer og påpeger en distinktion, der er højst relevant for det danske felt: skellet mellem </w:t>
      </w:r>
      <w:r>
        <w:rPr>
          <w:i/>
          <w:iCs/>
        </w:rPr>
        <w:t>aktive</w:t>
      </w:r>
      <w:r>
        <w:t xml:space="preserve"> og </w:t>
      </w:r>
      <w:r>
        <w:rPr>
          <w:i/>
          <w:iCs/>
        </w:rPr>
        <w:t>passive</w:t>
      </w:r>
      <w:r>
        <w:t xml:space="preserve"> Schulverweigerer. De aktive er synlige og havner i systemets fokus; de passive – elever der møder op uden at deltage, eller som gradvist trapper ned – forbliver langt hen ad vejen usynlige for forskning og for praksis. Dette mønster genkendes på tværs af alle fire lande: det er de synligt fraværende, der aktiverer systemet.</w:t>
      </w:r>
    </w:p>
    <w:p w14:paraId="1B7F8C80" w14:textId="77777777" w:rsidR="00853102" w:rsidRDefault="00000000">
      <w:pPr>
        <w:spacing w:after="240" w:line="360" w:lineRule="auto"/>
      </w:pPr>
      <w:r>
        <w:t xml:space="preserve">Anja Oehmes (2007) kvalitative undersøgelse af unges egne teorier om deres skolevægring repræsenterer en vigtig modvægt: ved at lade de unge selv sætte ord på forløbet tegnes et billede, der er langt mere komplekst end standardforklaringerne. Johanna Kinigers (2021) komparative studie på tværs af Østrig, Italien, Tyskland og Schweiz introducerer et ni-faser-model for Schulverweigerung og viser, at vægringen typisk udvikler sig gradvist og </w:t>
      </w:r>
      <w:r>
        <w:lastRenderedPageBreak/>
        <w:t>er synlig som mønster længe før den er manifest fravær. Dette resonerer direkte med det svenske og internationale forebyggende paradigme.</w:t>
      </w:r>
    </w:p>
    <w:p w14:paraId="073DDDC0" w14:textId="77777777" w:rsidR="00853102" w:rsidRDefault="00000000">
      <w:pPr>
        <w:pStyle w:val="Overskrift1"/>
      </w:pPr>
      <w:r>
        <w:t>6. Komparativ analyse: Fire dimensioner</w:t>
      </w:r>
    </w:p>
    <w:p w14:paraId="6B70BAA8" w14:textId="77777777" w:rsidR="00853102" w:rsidRDefault="00000000">
      <w:pPr>
        <w:spacing w:after="240" w:line="360" w:lineRule="auto"/>
      </w:pPr>
      <w:r>
        <w:t>På tværs af de fire traditioner er det muligt at identificere fire nøgledimensioner, hvorpå tilgangene adskiller sig.</w:t>
      </w:r>
    </w:p>
    <w:p w14:paraId="5EB5A9CD" w14:textId="77777777" w:rsidR="00853102" w:rsidRDefault="00000000">
      <w:pPr>
        <w:pStyle w:val="Overskrift2"/>
      </w:pPr>
      <w:r>
        <w:t>Dimension 1: Hvornår begynder problemet?</w:t>
      </w:r>
    </w:p>
    <w:p w14:paraId="7A401787" w14:textId="77777777" w:rsidR="00853102" w:rsidRDefault="00000000">
      <w:pPr>
        <w:spacing w:after="240" w:line="360" w:lineRule="auto"/>
      </w:pPr>
      <w:r>
        <w:t>Dette er, som nævnt, den afgørende dimension. Alle traditioner anerkender intellektuelt, at problemer er under opbygning før det synlige fravær. Men kun den svenske og delvist den norsk-hollandske tradition (Ingul et al., 2019) har oversæt dette til operationelle rammeværker for tidlig opsporing. I Danmark og i høj grad også i den tyske tradition er systemet fortsat primært indrettet til at reagere, når fraværet allerede er registrerbart og langvarigt.</w:t>
      </w:r>
    </w:p>
    <w:p w14:paraId="07D39221" w14:textId="77777777" w:rsidR="00853102" w:rsidRDefault="00000000">
      <w:pPr>
        <w:pStyle w:val="Overskrift2"/>
      </w:pPr>
      <w:r>
        <w:t>Dimension 2: Hvem bærer forklaringen?</w:t>
      </w:r>
    </w:p>
    <w:p w14:paraId="5A99A7AC" w14:textId="77777777" w:rsidR="00853102" w:rsidRDefault="00000000">
      <w:pPr>
        <w:spacing w:after="240" w:line="360" w:lineRule="auto"/>
      </w:pPr>
      <w:r>
        <w:t xml:space="preserve">Begrebet </w:t>
      </w:r>
      <w:r>
        <w:rPr>
          <w:i/>
          <w:iCs/>
        </w:rPr>
        <w:t>skolefobi</w:t>
      </w:r>
      <w:r>
        <w:t xml:space="preserve"> placerer forklaringen i barnet. </w:t>
      </w:r>
      <w:r>
        <w:rPr>
          <w:i/>
          <w:iCs/>
        </w:rPr>
        <w:t>Skolevægring</w:t>
      </w:r>
      <w:r>
        <w:t xml:space="preserve"> antyder viljeslighed. </w:t>
      </w:r>
      <w:r>
        <w:rPr>
          <w:i/>
          <w:iCs/>
        </w:rPr>
        <w:t>School refusal behavior</w:t>
      </w:r>
      <w:r>
        <w:t xml:space="preserve"> er mere neutralt men fortsat barn-centreret. </w:t>
      </w:r>
      <w:r>
        <w:rPr>
          <w:i/>
          <w:iCs/>
        </w:rPr>
        <w:t>Schulabsentismus</w:t>
      </w:r>
      <w:r>
        <w:t xml:space="preserve"> åbner for systemiske forklaringer. Den tyske og delvist den svenske tradition er mest eksplicitte i at pege på skolen som medansvarlig: det er ikke nødvendigvis barnet, der fejler, men systemet, der ikke har formået at skabe de rette betingelser.</w:t>
      </w:r>
    </w:p>
    <w:p w14:paraId="53C2475A" w14:textId="07EF441F" w:rsidR="00853102" w:rsidRDefault="00000000">
      <w:pPr>
        <w:spacing w:after="240" w:line="360" w:lineRule="auto"/>
      </w:pPr>
      <w:r>
        <w:t>Lunds ph.d. (2023) viser, at den danske praksis i vidt omfang tilvejebringer de same asymmetrier: fagfolk søger forklaringer hos barnet og familien. Skolens egne bidrag til fraværet – hård klasseledelse, manglende NPF-tilpasning, vikar</w:t>
      </w:r>
      <w:r w:rsidR="00E17398">
        <w:t xml:space="preserve"> </w:t>
      </w:r>
      <w:r>
        <w:t>følgskaber, dårlige relationer – er underbelyst.</w:t>
      </w:r>
    </w:p>
    <w:p w14:paraId="5F3827AD" w14:textId="77777777" w:rsidR="00853102" w:rsidRDefault="00000000">
      <w:pPr>
        <w:pStyle w:val="Overskrift2"/>
      </w:pPr>
      <w:r>
        <w:t>Dimension 3: Hvad er målet – tilbageførslen eller trivsel?</w:t>
      </w:r>
    </w:p>
    <w:p w14:paraId="08570BD7" w14:textId="77777777" w:rsidR="00853102" w:rsidRDefault="00000000">
      <w:pPr>
        <w:spacing w:after="240" w:line="360" w:lineRule="auto"/>
      </w:pPr>
      <w:r>
        <w:t xml:space="preserve">I alle fire lande er det primære operationelle mål tilbageførslen til skolen. Men der tegner sig i nyere forskning en vis begrebslig spænding: er tilbageførsel nødvendigvis det rigtige mål, hvis skolen er en del af problemet? En 18-årig svensk elev, citeret i bogen </w:t>
      </w:r>
      <w:r>
        <w:rPr>
          <w:i/>
          <w:iCs/>
        </w:rPr>
        <w:t>Tusen tomma skolbänkar</w:t>
      </w:r>
      <w:r>
        <w:t xml:space="preserve"> (Jonsson, 2024), spørger: ”Vuxna med makt borde fokusera mer på skadlig skolnärvaro än problematisk skolfrånvaro.” Dette er en provokerende men legitim pointer: nærvær for enhver pris er ikke nødvendigvis det rette mål.</w:t>
      </w:r>
    </w:p>
    <w:p w14:paraId="0E6DF17A" w14:textId="77777777" w:rsidR="00853102" w:rsidRDefault="00000000">
      <w:pPr>
        <w:pStyle w:val="Overskrift2"/>
      </w:pPr>
      <w:r>
        <w:lastRenderedPageBreak/>
        <w:t>Dimension 4: Hvad siger evidensen om behandling?</w:t>
      </w:r>
    </w:p>
    <w:p w14:paraId="2AD59BE8" w14:textId="58C2DB58" w:rsidR="00853102" w:rsidRDefault="00000000">
      <w:pPr>
        <w:spacing w:after="240" w:line="360" w:lineRule="auto"/>
      </w:pPr>
      <w:r>
        <w:t>Kognitiv adfærdsterapi (KBT) er i alle fire traditioner den bedst dokumenterede behandlingsform for angstbaseret skolevægring (Heyne et al., 2011; Kearney &amp; Albano, 2018; Maynard et al., 2014–2015). Men evidensbasen er svæg: fæ randomiserede kontrollerede forsøg, små stikprøver og manglende opfølgning. Der er bred enighed om, at tidlig indsats, tværsektorielt samarbejde og individuelle tilpasninger er afgørende, men de m</w:t>
      </w:r>
      <w:r w:rsidR="00E17398">
        <w:t>arkante</w:t>
      </w:r>
      <w:r>
        <w:t xml:space="preserve"> beviser for, hvad der virker, er fragmentariske.</w:t>
      </w:r>
    </w:p>
    <w:p w14:paraId="5FCACACD" w14:textId="77777777" w:rsidR="00853102" w:rsidRDefault="00000000">
      <w:pPr>
        <w:pStyle w:val="Overskrift1"/>
      </w:pPr>
      <w:r>
        <w:t>7. Hvad bør Danmark fokusere på fremadrettet?</w:t>
      </w:r>
    </w:p>
    <w:p w14:paraId="01D30B2B" w14:textId="77777777" w:rsidR="00853102" w:rsidRDefault="00000000">
      <w:pPr>
        <w:spacing w:after="240" w:line="360" w:lineRule="auto"/>
      </w:pPr>
      <w:r>
        <w:t>På baggrund af ovennævnte analyse er det muligt at skitsere seks prioriterede indsatsområder for dansk forskning og praksis.</w:t>
      </w:r>
    </w:p>
    <w:p w14:paraId="18602B4B" w14:textId="77777777" w:rsidR="00853102" w:rsidRDefault="00000000">
      <w:pPr>
        <w:pStyle w:val="Overskrift2"/>
      </w:pPr>
      <w:r>
        <w:t>7.1 Fra reaktiv til proaktiv opsporing</w:t>
      </w:r>
    </w:p>
    <w:p w14:paraId="3C699857" w14:textId="7D0BEE1D" w:rsidR="00853102" w:rsidRDefault="00000000">
      <w:pPr>
        <w:spacing w:after="240" w:line="360" w:lineRule="auto"/>
      </w:pPr>
      <w:r>
        <w:t>Den vigtigste enkeltfaktor er at flytte systemets fokuspunkt: fra det registrerede, synlige fravær til de tidlige advarselsmønstre. Dette kræver to ting. Først en national standard for systematisk og konsistent fraværsregistrering – i dag varierer praksis enormt fra skole til skole. Der</w:t>
      </w:r>
      <w:r w:rsidR="00E17398">
        <w:t>efter</w:t>
      </w:r>
      <w:r>
        <w:t xml:space="preserve"> en operationel vejledning i, hvilke signaler der bør udløse hvad: ikke blot registreret fravær, men også tilbagevendende somatiske klager, afvisning af specifikke lektioner, markante humormæssige skift om mandagen og hvad man i den internationale litteratur kalder “school reluctance” (Jones &amp; Suveg, 2015) – det at elever </w:t>
      </w:r>
      <w:r w:rsidR="00E17398">
        <w:t>modstand</w:t>
      </w:r>
      <w:r>
        <w:t xml:space="preserve"> er usynlig og under registreringstærsklen.</w:t>
      </w:r>
    </w:p>
    <w:p w14:paraId="3A062603" w14:textId="77777777" w:rsidR="00853102" w:rsidRDefault="00000000">
      <w:pPr>
        <w:pStyle w:val="Overskrift2"/>
      </w:pPr>
      <w:r>
        <w:t>7.2 En styrket og koordineret forskningstradition</w:t>
      </w:r>
    </w:p>
    <w:p w14:paraId="18ED03DB" w14:textId="77777777" w:rsidR="00853102" w:rsidRDefault="00000000">
      <w:pPr>
        <w:spacing w:after="240" w:line="360" w:lineRule="auto"/>
      </w:pPr>
      <w:r>
        <w:t>Den danske forskning er endnu ung og fragmenteret. Ph.d.-projekter er afgørende, men de bør understøttes af bredere og længerevarende forskningsmiljøer. VIVE’s panelanalyse (Kristensen m.fl., 2020) er et af de få solide kvantitative bidrag – den slags longitudinelle registerbaserede studier bør systematiseres. Der mangler også interventionsstudier med kontrollerede designs: hvad virker, når, for hvem og under hvilke betingelser?</w:t>
      </w:r>
    </w:p>
    <w:p w14:paraId="57B995F7" w14:textId="77777777" w:rsidR="00853102" w:rsidRDefault="00000000">
      <w:pPr>
        <w:pStyle w:val="Overskrift2"/>
      </w:pPr>
      <w:r>
        <w:t>7.3 Inddragelse af børnenes egne stemmer</w:t>
      </w:r>
    </w:p>
    <w:p w14:paraId="05BB016C" w14:textId="77777777" w:rsidR="00853102" w:rsidRDefault="00000000">
      <w:pPr>
        <w:spacing w:after="240" w:line="360" w:lineRule="auto"/>
      </w:pPr>
      <w:r>
        <w:t xml:space="preserve">Både Knage (2023) og Lund (2023) peger på den same lakune: børnenes egne perspektiver er systematisk underprioriterede i forskning og i praksis. Ud af 162 internationale artikler i Knages review inddrog kun seks til syv børnenes stemmer. Dansk forskning bør gøre børnenes erfaringsbaserede viden – om, hvad der er svært, hvornår det begyndte at gå galt, </w:t>
      </w:r>
      <w:r>
        <w:lastRenderedPageBreak/>
        <w:t>og hvad de har brug for – til en målbar prioritet. Ikke som en romantisk gestus, men fordi disse erfaringer indeholder information, systemet ikke får adgang til ad andre veje.</w:t>
      </w:r>
    </w:p>
    <w:p w14:paraId="723233CB" w14:textId="77777777" w:rsidR="00853102" w:rsidRDefault="00000000">
      <w:pPr>
        <w:pStyle w:val="Overskrift2"/>
      </w:pPr>
      <w:r>
        <w:t>7.4 Systemisk ansvar – fra individfokus til kontekstfokus</w:t>
      </w:r>
    </w:p>
    <w:p w14:paraId="0AF9EF5B" w14:textId="77777777" w:rsidR="00853102" w:rsidRDefault="00000000">
      <w:pPr>
        <w:spacing w:after="240" w:line="360" w:lineRule="auto"/>
      </w:pPr>
      <w:r>
        <w:t>Den funktionelle tilgang (Kearney, 2001) og den tyske systemkritiske tradition (Ricking, 2003; Oehme, 2007) peger begge på, at årsagerne til skolevægring sjældent er enkle og aldrig udelukkende resident i barnet. Dansk praksis bør systematisk inddrage skolemiljøet i udredningen: Hvad kendetegner klassemiljøet? Hvad er forholdet til læreren? Er undervisningen tilpasset elevens behov? Dette kræver ikke blot kompetenceudvikling hos skolepsykologer og PPR, men en kulturel og strukturel forskydning i, hvem der spørges – og hvem der holdes til ansvar.</w:t>
      </w:r>
    </w:p>
    <w:p w14:paraId="31602C3C" w14:textId="77777777" w:rsidR="00853102" w:rsidRDefault="00000000">
      <w:pPr>
        <w:pStyle w:val="Overskrift2"/>
      </w:pPr>
      <w:r>
        <w:t>7.5 Tværsektoriel koordinering og klare ansvarslinjer</w:t>
      </w:r>
    </w:p>
    <w:p w14:paraId="518DB9C9" w14:textId="784D2548" w:rsidR="00853102" w:rsidRDefault="00000000">
      <w:pPr>
        <w:spacing w:after="240" w:line="360" w:lineRule="auto"/>
      </w:pPr>
      <w:r>
        <w:t xml:space="preserve">Metodecentrets (2023) konklusion er utvetydig: behandling af skolevægring lykkes bedst, når et bredt netværk er involveret, når ansvaret er tydeligt fordelt, og når indsatsen er koordineret på tværs af skole, familie, PPR og evt. BUP. I dag oplever mange familier og fagfolk </w:t>
      </w:r>
      <w:r w:rsidR="00E17398">
        <w:t>den modsætning</w:t>
      </w:r>
      <w:r>
        <w:t>: ansvaret boldes rundt, og koordineringen er tilfældig. Et struktureret sektorsamarbejde med klare koordinationsfunktioner er nødvendigt.</w:t>
      </w:r>
    </w:p>
    <w:p w14:paraId="451D3281" w14:textId="77777777" w:rsidR="00853102" w:rsidRDefault="00000000">
      <w:pPr>
        <w:pStyle w:val="Overskrift2"/>
      </w:pPr>
      <w:r>
        <w:t>7.6 Nordisk og komparativt perspektiv</w:t>
      </w:r>
    </w:p>
    <w:p w14:paraId="0C275A94" w14:textId="7DBAF44F" w:rsidR="00853102" w:rsidRDefault="00000000">
      <w:pPr>
        <w:spacing w:after="240" w:line="360" w:lineRule="auto"/>
      </w:pPr>
      <w:r>
        <w:t>Endelig bør dansk forskning i langt højere grad trække på det, der allerede ved i Sverige, Norge, Holland og den internationale litteratur. Komparativt nordisk samarbejde på feltet er næsten ikke</w:t>
      </w:r>
      <w:r w:rsidR="00E17398">
        <w:t xml:space="preserve"> </w:t>
      </w:r>
      <w:r>
        <w:t>eksisterende. Ingul, Havik og Heynes arbejde (2019) er et eksempel på det skandinavisk-hollandske samarbejde, der kan tjene som model. Et fælles nordisk forskningsnetværk på problematisk skolefravær ville være et markant bidrag til feltet.</w:t>
      </w:r>
    </w:p>
    <w:p w14:paraId="5CCA9FD4" w14:textId="77777777" w:rsidR="00853102" w:rsidRDefault="00000000">
      <w:pPr>
        <w:pStyle w:val="Overskrift1"/>
      </w:pPr>
      <w:r>
        <w:t>8. Konklusion</w:t>
      </w:r>
    </w:p>
    <w:p w14:paraId="64626D77" w14:textId="05451005" w:rsidR="00853102" w:rsidRDefault="00000000">
      <w:pPr>
        <w:spacing w:after="240" w:line="360" w:lineRule="auto"/>
      </w:pPr>
      <w:r>
        <w:t xml:space="preserve">Forskellen på </w:t>
      </w:r>
      <w:r>
        <w:rPr>
          <w:i/>
          <w:iCs/>
        </w:rPr>
        <w:t>skolevægring</w:t>
      </w:r>
      <w:r>
        <w:t xml:space="preserve"> og </w:t>
      </w:r>
      <w:r>
        <w:rPr>
          <w:i/>
          <w:iCs/>
        </w:rPr>
        <w:t>hemmasittare</w:t>
      </w:r>
      <w:r>
        <w:t xml:space="preserve"> er mere end terminologi. Den afspejler, hvornår systemet træder i karakter: Danmark typisk når fraværet er registreret og langvarigt; Sverige typisk – omend langt fra perfekt – noget tidligere og med et tydeligere blik for de forudgående mønstre. Den internationale forskning, </w:t>
      </w:r>
      <w:r w:rsidR="00E17398">
        <w:t xml:space="preserve">ført </w:t>
      </w:r>
      <w:r>
        <w:t xml:space="preserve">af Kearneys nu to årtier gamle, men fortsat afgørende funktionelle model, og den norsk-hollandske tidlige </w:t>
      </w:r>
      <w:r w:rsidR="00E17398">
        <w:t xml:space="preserve">opsporings </w:t>
      </w:r>
      <w:r>
        <w:t>tradition, bekræfter: det er muligt at identificere risikoelever, før de er gået tabt i systemet.</w:t>
      </w:r>
    </w:p>
    <w:p w14:paraId="2F0E6C30" w14:textId="5BD708BE" w:rsidR="00853102" w:rsidRDefault="00000000">
      <w:pPr>
        <w:spacing w:after="240" w:line="360" w:lineRule="auto"/>
      </w:pPr>
      <w:r>
        <w:lastRenderedPageBreak/>
        <w:t xml:space="preserve">Danmark er i bevægelse. Ph.d.-projekter er skudt i gang, Metodecentret opdaterer sin litteraturgennemgang, og offentlig opmærksomhed på problemet vokser. Men der mangler fortsat en </w:t>
      </w:r>
      <w:r w:rsidR="00E17398">
        <w:t>nøgle ting</w:t>
      </w:r>
      <w:r>
        <w:t>: en strukturel og kulturel forpl</w:t>
      </w:r>
      <w:r w:rsidR="00E17398">
        <w:t>i</w:t>
      </w:r>
      <w:r>
        <w:t>gtelse til at handle, før problemet er synligt. Det er ikke en, der spærres op med et enkelt lovindgreb eller en ny rapport. Det er en forandring, der kræver forskning, implementering, kompetenceudvikling og en vilje til at lade børnenes egne fortæller sætte dagsordenen.</w:t>
      </w:r>
    </w:p>
    <w:p w14:paraId="57592DE0" w14:textId="77777777" w:rsidR="00853102" w:rsidRDefault="00000000">
      <w:pPr>
        <w:spacing w:after="240" w:line="360" w:lineRule="auto"/>
      </w:pPr>
      <w:r>
        <w:t xml:space="preserve">Som den svenske elev Elsa (18 år) formulerer det – citeret i den svenske bog </w:t>
      </w:r>
      <w:r>
        <w:rPr>
          <w:i/>
          <w:iCs/>
        </w:rPr>
        <w:t>Tusen tomma skolbänkar</w:t>
      </w:r>
      <w:r>
        <w:t xml:space="preserve"> (2024): </w:t>
      </w:r>
      <w:r>
        <w:rPr>
          <w:i/>
          <w:iCs/>
        </w:rPr>
        <w:t>”Vuxna med makt borde fokusera mer på skadlig skolnärvaro än problematisk skolfrånvaro.”</w:t>
      </w:r>
      <w:r>
        <w:t xml:space="preserve"> Det er en invitation til at spørge: hvornår skader skolen barnet? Og hvornår bør systemet handle på det – ikke når fraværet er en kendsgerning, men når tegnene er der?</w:t>
      </w:r>
    </w:p>
    <w:p w14:paraId="1341CC4F" w14:textId="77777777" w:rsidR="00853102" w:rsidRDefault="00853102">
      <w:pPr>
        <w:pBdr>
          <w:bottom w:val="single" w:sz="4" w:space="1" w:color="CCCCCC"/>
        </w:pBdr>
        <w:spacing w:before="400" w:after="400"/>
      </w:pPr>
    </w:p>
    <w:p w14:paraId="5E47B5AF" w14:textId="77777777" w:rsidR="00853102" w:rsidRDefault="00000000">
      <w:pPr>
        <w:pStyle w:val="Overskrift1"/>
      </w:pPr>
      <w:r>
        <w:t>Referencer</w:t>
      </w:r>
    </w:p>
    <w:p w14:paraId="0011E341" w14:textId="77777777" w:rsidR="00853102" w:rsidRDefault="00000000">
      <w:pPr>
        <w:spacing w:after="120"/>
      </w:pPr>
      <w:r>
        <w:rPr>
          <w:rFonts w:ascii="Arial" w:eastAsia="Arial" w:hAnsi="Arial" w:cs="Arial"/>
          <w:b/>
          <w:bCs/>
          <w:color w:val="1F3864"/>
          <w:sz w:val="22"/>
          <w:szCs w:val="22"/>
        </w:rPr>
        <w:t>Dansk og svensk litteratur</w:t>
      </w:r>
    </w:p>
    <w:p w14:paraId="4947DE93" w14:textId="77777777" w:rsidR="00853102" w:rsidRDefault="00000000">
      <w:pPr>
        <w:spacing w:before="60" w:after="60"/>
        <w:ind w:left="360" w:hanging="360"/>
      </w:pPr>
      <w:r>
        <w:rPr>
          <w:color w:val="555555"/>
          <w:sz w:val="20"/>
          <w:szCs w:val="20"/>
        </w:rPr>
        <w:t>Dumstrei, B. (2023). Skolevægring: børn med udfordringer og deres vanskeligheder med at komme i skole. Forskning i pædagogers profession og uddannelse, 7(1), s. 33–41. https://doi.org/10.7146/fppu.v7i1.136706</w:t>
      </w:r>
    </w:p>
    <w:p w14:paraId="65327C73" w14:textId="77777777" w:rsidR="00853102" w:rsidRDefault="00000000">
      <w:pPr>
        <w:spacing w:before="60" w:after="60"/>
        <w:ind w:left="360" w:hanging="360"/>
      </w:pPr>
      <w:r>
        <w:rPr>
          <w:color w:val="555555"/>
          <w:sz w:val="20"/>
          <w:szCs w:val="20"/>
        </w:rPr>
        <w:t>Forsell, T. (2022). Man är ju typ elev fast på avstånd. Ph.d.-afhandling. Institutionen för tillämpad utbildningsvetenskap, Umeå Universitet.</w:t>
      </w:r>
    </w:p>
    <w:p w14:paraId="5CDD4774" w14:textId="77777777" w:rsidR="00853102" w:rsidRDefault="00000000">
      <w:pPr>
        <w:spacing w:before="60" w:after="60"/>
        <w:ind w:left="360" w:hanging="360"/>
      </w:pPr>
      <w:r>
        <w:rPr>
          <w:color w:val="555555"/>
          <w:sz w:val="20"/>
          <w:szCs w:val="20"/>
        </w:rPr>
        <w:t>Gren Landell, M. (2021). Problematisk skolefrånvaro: att utreda och hjälpa barn och unga tillbaka till skolan. Stockholm: Natur &amp; Kultur.</w:t>
      </w:r>
    </w:p>
    <w:p w14:paraId="300B1AC3" w14:textId="77777777" w:rsidR="00853102" w:rsidRDefault="00000000">
      <w:pPr>
        <w:spacing w:before="60" w:after="60"/>
        <w:ind w:left="360" w:hanging="360"/>
      </w:pPr>
      <w:r>
        <w:rPr>
          <w:color w:val="555555"/>
          <w:sz w:val="20"/>
          <w:szCs w:val="20"/>
        </w:rPr>
        <w:t>Jonsson, C. (2024). Tusen tomma skolbänkar. Gothia Kompetens.</w:t>
      </w:r>
    </w:p>
    <w:p w14:paraId="350E7AB7" w14:textId="77777777" w:rsidR="00853102" w:rsidRDefault="00000000">
      <w:pPr>
        <w:spacing w:before="60" w:after="60"/>
        <w:ind w:left="360" w:hanging="360"/>
      </w:pPr>
      <w:r>
        <w:rPr>
          <w:color w:val="555555"/>
          <w:sz w:val="20"/>
          <w:szCs w:val="20"/>
        </w:rPr>
        <w:t>Knage, F.S. (2023). Langvarigt bekymrende skolefravær [forskningsoversigt]. DPU, Aarhus Universitet.</w:t>
      </w:r>
    </w:p>
    <w:p w14:paraId="07868A16" w14:textId="77777777" w:rsidR="00853102" w:rsidRDefault="00000000">
      <w:pPr>
        <w:spacing w:before="60" w:after="60"/>
        <w:ind w:left="360" w:hanging="360"/>
      </w:pPr>
      <w:r>
        <w:rPr>
          <w:color w:val="555555"/>
          <w:sz w:val="20"/>
          <w:szCs w:val="20"/>
        </w:rPr>
        <w:t>Kristensen, N. m.fl. (2020). Panelanalyse af bekymrende skolefravær. VIVE – Det Nationale Forsknings- og Analysecenter for Velfærd.</w:t>
      </w:r>
    </w:p>
    <w:p w14:paraId="4F6C2C08" w14:textId="77777777" w:rsidR="00853102" w:rsidRDefault="00000000">
      <w:pPr>
        <w:spacing w:before="60" w:after="60"/>
        <w:ind w:left="360" w:hanging="360"/>
      </w:pPr>
      <w:r>
        <w:rPr>
          <w:color w:val="555555"/>
          <w:sz w:val="20"/>
          <w:szCs w:val="20"/>
        </w:rPr>
        <w:t>Lund, J. (2023). Re-fusing school refusal. A qualitative study of complex entanglements and subjectification in persistent school absence. Ph.d.-afhandling. DPU, Aarhus Universitet.</w:t>
      </w:r>
    </w:p>
    <w:p w14:paraId="03E21809" w14:textId="77777777" w:rsidR="00853102" w:rsidRDefault="00000000">
      <w:pPr>
        <w:spacing w:before="60" w:after="60"/>
        <w:ind w:left="360" w:hanging="360"/>
      </w:pPr>
      <w:r>
        <w:rPr>
          <w:color w:val="555555"/>
          <w:sz w:val="20"/>
          <w:szCs w:val="20"/>
        </w:rPr>
        <w:t>Metodecentret (2023). Problematisk skolefravær og skolevægring. Årsager og behandling. Litteraturstudie (rev. udg.). København: Metodecentret.</w:t>
      </w:r>
    </w:p>
    <w:p w14:paraId="13C0BEAE" w14:textId="77777777" w:rsidR="00853102" w:rsidRDefault="00000000">
      <w:pPr>
        <w:spacing w:before="60" w:after="60"/>
        <w:ind w:left="360" w:hanging="360"/>
      </w:pPr>
      <w:r>
        <w:rPr>
          <w:color w:val="555555"/>
          <w:sz w:val="20"/>
          <w:szCs w:val="20"/>
        </w:rPr>
        <w:t>Petäjä, U. &amp; Kindblad, C. (2017–2020). ELOF-studien. Høgskolan i Halmstad, Institutionen för samhällsvetenskap.</w:t>
      </w:r>
    </w:p>
    <w:p w14:paraId="645FCF88" w14:textId="77777777" w:rsidR="00853102" w:rsidRDefault="00000000">
      <w:pPr>
        <w:spacing w:before="60" w:after="60"/>
        <w:ind w:left="360" w:hanging="360"/>
      </w:pPr>
      <w:r>
        <w:rPr>
          <w:color w:val="555555"/>
          <w:sz w:val="20"/>
          <w:szCs w:val="20"/>
        </w:rPr>
        <w:t>Stewart-Ferrer, C.A. (2018). Skolefobi/skolevægring – årsager og løsninger. 2. rev. udg. Tilgængelig via ResearchGate.</w:t>
      </w:r>
    </w:p>
    <w:p w14:paraId="4AA988B2" w14:textId="77777777" w:rsidR="00853102" w:rsidRDefault="00000000">
      <w:pPr>
        <w:spacing w:before="60" w:after="80"/>
        <w:ind w:left="360" w:hanging="360"/>
      </w:pPr>
      <w:r>
        <w:rPr>
          <w:color w:val="555555"/>
          <w:sz w:val="20"/>
          <w:szCs w:val="20"/>
        </w:rPr>
        <w:t>Thomsen, M. (2021). Skolevægring: i teori og praksis. Tidsskriftet Specialpædagogik, 2021(4), s. 26–39.</w:t>
      </w:r>
    </w:p>
    <w:p w14:paraId="64EDEAE8" w14:textId="77777777" w:rsidR="00853102" w:rsidRDefault="00000000">
      <w:pPr>
        <w:spacing w:before="120" w:after="120"/>
      </w:pPr>
      <w:r>
        <w:rPr>
          <w:rFonts w:ascii="Arial" w:eastAsia="Arial" w:hAnsi="Arial" w:cs="Arial"/>
          <w:b/>
          <w:bCs/>
          <w:color w:val="1F3864"/>
          <w:sz w:val="22"/>
          <w:szCs w:val="22"/>
        </w:rPr>
        <w:t>Internationale værker (engelsk og tysk)</w:t>
      </w:r>
    </w:p>
    <w:p w14:paraId="1659A2BF" w14:textId="77777777" w:rsidR="00853102" w:rsidRDefault="00000000">
      <w:pPr>
        <w:spacing w:before="60" w:after="60"/>
        <w:ind w:left="360" w:hanging="360"/>
      </w:pPr>
      <w:r>
        <w:rPr>
          <w:color w:val="555555"/>
          <w:sz w:val="20"/>
          <w:szCs w:val="20"/>
        </w:rPr>
        <w:t>Heyne, D., Sauter, F.M., Van Widenfelt, B.M., Vermeiren, R. &amp; Westenberg, P.M. (2011). School refusal and anxiety in adolescence: Non-randomized trial of a developmentally sensitive CBT. Journal of Anxiety Disorders, 25, 870–878.</w:t>
      </w:r>
    </w:p>
    <w:p w14:paraId="07C53269" w14:textId="77777777" w:rsidR="00853102" w:rsidRDefault="00000000">
      <w:pPr>
        <w:spacing w:before="60" w:after="60"/>
        <w:ind w:left="360" w:hanging="360"/>
      </w:pPr>
      <w:r>
        <w:rPr>
          <w:color w:val="555555"/>
          <w:sz w:val="20"/>
          <w:szCs w:val="20"/>
        </w:rPr>
        <w:t>Ingul, J.M., Havik, T. &amp; Heyne, D. (2019). Emerging school refusal: A school-based framework for identifying early signs and risk factors. Cognitive and Behavioral Practice, 26, 46–62.</w:t>
      </w:r>
    </w:p>
    <w:p w14:paraId="332BA263" w14:textId="77777777" w:rsidR="00853102" w:rsidRDefault="00000000">
      <w:pPr>
        <w:spacing w:before="60" w:after="60"/>
        <w:ind w:left="360" w:hanging="360"/>
      </w:pPr>
      <w:r>
        <w:rPr>
          <w:color w:val="555555"/>
          <w:sz w:val="20"/>
          <w:szCs w:val="20"/>
        </w:rPr>
        <w:lastRenderedPageBreak/>
        <w:t>Jones, A.M. &amp; Suveg, C. (2015). Flying under the radar: School reluctance in anxious youth. School Mental Health, 7, 212–223.</w:t>
      </w:r>
    </w:p>
    <w:p w14:paraId="2C018B4E" w14:textId="77777777" w:rsidR="00853102" w:rsidRDefault="00000000">
      <w:pPr>
        <w:spacing w:before="60" w:after="60"/>
        <w:ind w:left="360" w:hanging="360"/>
      </w:pPr>
      <w:r>
        <w:rPr>
          <w:color w:val="555555"/>
          <w:sz w:val="20"/>
          <w:szCs w:val="20"/>
        </w:rPr>
        <w:t>Kearney, C.A. (2001). School refusal behavior in youth: A functional approach to assessment and treatment. Washington DC: American Psychological Association.</w:t>
      </w:r>
    </w:p>
    <w:p w14:paraId="5249F2EC" w14:textId="77777777" w:rsidR="00853102" w:rsidRDefault="00000000">
      <w:pPr>
        <w:spacing w:before="60" w:after="60"/>
        <w:ind w:left="360" w:hanging="360"/>
      </w:pPr>
      <w:r>
        <w:rPr>
          <w:color w:val="555555"/>
          <w:sz w:val="20"/>
          <w:szCs w:val="20"/>
        </w:rPr>
        <w:t>Kearney, C.A. (2008). School absenteeism and school refusal behavior in youth: A contemporary review. Clinical Psychology Review, 28, 451–471.</w:t>
      </w:r>
    </w:p>
    <w:p w14:paraId="79F91B6D" w14:textId="77777777" w:rsidR="00853102" w:rsidRDefault="00000000">
      <w:pPr>
        <w:spacing w:before="60" w:after="60"/>
        <w:ind w:left="360" w:hanging="360"/>
      </w:pPr>
      <w:r>
        <w:rPr>
          <w:color w:val="555555"/>
          <w:sz w:val="20"/>
          <w:szCs w:val="20"/>
        </w:rPr>
        <w:t>Kearney, C.A. &amp; Albano, A.M. (2018). When children refuse school: A cognitive-behavioral therapy approach. Therapist guide (3rd ed.). Oxford University Press.</w:t>
      </w:r>
    </w:p>
    <w:p w14:paraId="649E20AD" w14:textId="77777777" w:rsidR="00853102" w:rsidRDefault="00000000">
      <w:pPr>
        <w:spacing w:before="60" w:after="60"/>
        <w:ind w:left="360" w:hanging="360"/>
      </w:pPr>
      <w:r>
        <w:rPr>
          <w:color w:val="555555"/>
          <w:sz w:val="20"/>
          <w:szCs w:val="20"/>
        </w:rPr>
        <w:t>Kiniger, J. (2021). Schulverweigerung als Entwicklungschance? Systemisch-lösungsorientierter Ansatz. [Lænderübergreifende Studie]. Verlag.</w:t>
      </w:r>
    </w:p>
    <w:p w14:paraId="21588542" w14:textId="77777777" w:rsidR="00853102" w:rsidRDefault="00000000">
      <w:pPr>
        <w:spacing w:before="60" w:after="60"/>
        <w:ind w:left="360" w:hanging="360"/>
      </w:pPr>
      <w:r>
        <w:rPr>
          <w:color w:val="555555"/>
          <w:sz w:val="20"/>
          <w:szCs w:val="20"/>
        </w:rPr>
        <w:t>Maynard, B.R. et al. (2014–2015). Interventions for dropout prevention and school refusal: Systematic reviews. Campbell Systematic Reviews &amp; Research on Social Work Practice.</w:t>
      </w:r>
    </w:p>
    <w:p w14:paraId="5BFD0AD8" w14:textId="77777777" w:rsidR="00853102" w:rsidRDefault="00000000">
      <w:pPr>
        <w:spacing w:before="60" w:after="60"/>
        <w:ind w:left="360" w:hanging="360"/>
      </w:pPr>
      <w:r>
        <w:rPr>
          <w:color w:val="555555"/>
          <w:sz w:val="20"/>
          <w:szCs w:val="20"/>
        </w:rPr>
        <w:t>Oehme, A. (2007). Schulverweigerung: Subjektive Theorien von Jugendlichen zu den Bedingungen ihres Schulabsentismus. Verlag Dr. Kovač, Hamburg.</w:t>
      </w:r>
    </w:p>
    <w:p w14:paraId="1595E074" w14:textId="77777777" w:rsidR="00853102" w:rsidRDefault="00000000">
      <w:pPr>
        <w:spacing w:before="60" w:after="60"/>
        <w:ind w:left="360" w:hanging="360"/>
      </w:pPr>
      <w:r>
        <w:rPr>
          <w:color w:val="555555"/>
          <w:sz w:val="20"/>
          <w:szCs w:val="20"/>
        </w:rPr>
        <w:t>Ricking, H. (2003). Schulabsentismus als Forschungsgegenstand. BIS-Verlag, Oldenburg.</w:t>
      </w:r>
    </w:p>
    <w:sectPr w:rsidR="00853102">
      <w:headerReference w:type="default" r:id="rId7"/>
      <w:footerReference w:type="default" r:id="rId8"/>
      <w:pgSz w:w="11906" w:h="16838"/>
      <w:pgMar w:top="1440" w:right="1440" w:bottom="1440" w:left="17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D215BD" w14:textId="77777777" w:rsidR="00992D67" w:rsidRDefault="00992D67">
      <w:r>
        <w:separator/>
      </w:r>
    </w:p>
  </w:endnote>
  <w:endnote w:type="continuationSeparator" w:id="0">
    <w:p w14:paraId="73F8CC2A" w14:textId="77777777" w:rsidR="00992D67" w:rsidRDefault="00992D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E7C8E9" w14:textId="77777777" w:rsidR="00853102" w:rsidRDefault="00000000">
    <w:pPr>
      <w:pBdr>
        <w:top w:val="single" w:sz="4" w:space="1" w:color="BBBBBB"/>
      </w:pBdr>
      <w:jc w:val="right"/>
    </w:pPr>
    <w:r>
      <w:rPr>
        <w:rFonts w:ascii="Arial" w:eastAsia="Arial" w:hAnsi="Arial" w:cs="Arial"/>
        <w:color w:val="888888"/>
        <w:sz w:val="18"/>
        <w:szCs w:val="18"/>
      </w:rPr>
      <w:t xml:space="preserve">Side </w:t>
    </w:r>
    <w:r>
      <w:rPr>
        <w:rFonts w:ascii="Arial" w:eastAsia="Arial" w:hAnsi="Arial" w:cs="Arial"/>
        <w:color w:val="888888"/>
        <w:sz w:val="18"/>
        <w:szCs w:val="18"/>
      </w:rPr>
      <w:fldChar w:fldCharType="begin"/>
    </w:r>
    <w:r>
      <w:rPr>
        <w:rFonts w:ascii="Arial" w:eastAsia="Arial" w:hAnsi="Arial" w:cs="Arial"/>
        <w:color w:val="888888"/>
        <w:sz w:val="18"/>
        <w:szCs w:val="18"/>
      </w:rPr>
      <w:instrText>PAGE</w:instrText>
    </w:r>
    <w:r>
      <w:rPr>
        <w:rFonts w:ascii="Arial" w:eastAsia="Arial" w:hAnsi="Arial" w:cs="Arial"/>
        <w:color w:val="888888"/>
        <w:sz w:val="18"/>
        <w:szCs w:val="18"/>
      </w:rPr>
      <w:fldChar w:fldCharType="separate"/>
    </w:r>
    <w:r w:rsidR="00D84B77">
      <w:rPr>
        <w:rFonts w:ascii="Arial" w:eastAsia="Arial" w:hAnsi="Arial" w:cs="Arial"/>
        <w:noProof/>
        <w:color w:val="888888"/>
        <w:sz w:val="18"/>
        <w:szCs w:val="18"/>
      </w:rPr>
      <w:t>1</w:t>
    </w:r>
    <w:r>
      <w:rPr>
        <w:rFonts w:ascii="Arial" w:eastAsia="Arial" w:hAnsi="Arial" w:cs="Arial"/>
        <w:color w:val="888888"/>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C0B101" w14:textId="77777777" w:rsidR="00992D67" w:rsidRDefault="00992D67">
      <w:r>
        <w:separator/>
      </w:r>
    </w:p>
  </w:footnote>
  <w:footnote w:type="continuationSeparator" w:id="0">
    <w:p w14:paraId="4A0E5FC6" w14:textId="77777777" w:rsidR="00992D67" w:rsidRDefault="00992D6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AD54BF" w14:textId="1AD5F9D5" w:rsidR="00853102" w:rsidRDefault="00000000">
    <w:pPr>
      <w:pBdr>
        <w:bottom w:val="single" w:sz="4" w:space="1" w:color="BBBBBB"/>
      </w:pBdr>
    </w:pPr>
    <w:r>
      <w:rPr>
        <w:rFonts w:ascii="Arial" w:eastAsia="Arial" w:hAnsi="Arial" w:cs="Arial"/>
        <w:i/>
        <w:iCs/>
        <w:color w:val="888888"/>
        <w:sz w:val="18"/>
        <w:szCs w:val="18"/>
      </w:rPr>
      <w:t>Skolevægring og hemmasittare: Forskellige forståelser af et fælles problem</w:t>
    </w:r>
    <w:r w:rsidR="007A66B0">
      <w:rPr>
        <w:rFonts w:ascii="Arial" w:eastAsia="Arial" w:hAnsi="Arial" w:cs="Arial"/>
        <w:i/>
        <w:iCs/>
        <w:color w:val="888888"/>
        <w:sz w:val="18"/>
        <w:szCs w:val="18"/>
      </w:rPr>
      <w:t xml:space="preserve"> Airo Bjarking SOC-K</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F5650BE"/>
    <w:multiLevelType w:val="hybridMultilevel"/>
    <w:tmpl w:val="8EAA74CA"/>
    <w:lvl w:ilvl="0" w:tplc="C3CCF4E6">
      <w:start w:val="1"/>
      <w:numFmt w:val="bullet"/>
      <w:lvlText w:val="●"/>
      <w:lvlJc w:val="left"/>
      <w:pPr>
        <w:ind w:left="720" w:hanging="360"/>
      </w:pPr>
    </w:lvl>
    <w:lvl w:ilvl="1" w:tplc="D898C0F0">
      <w:start w:val="1"/>
      <w:numFmt w:val="bullet"/>
      <w:lvlText w:val="○"/>
      <w:lvlJc w:val="left"/>
      <w:pPr>
        <w:ind w:left="1440" w:hanging="360"/>
      </w:pPr>
    </w:lvl>
    <w:lvl w:ilvl="2" w:tplc="286E904A">
      <w:start w:val="1"/>
      <w:numFmt w:val="bullet"/>
      <w:lvlText w:val="■"/>
      <w:lvlJc w:val="left"/>
      <w:pPr>
        <w:ind w:left="2160" w:hanging="360"/>
      </w:pPr>
    </w:lvl>
    <w:lvl w:ilvl="3" w:tplc="F452A74A">
      <w:start w:val="1"/>
      <w:numFmt w:val="bullet"/>
      <w:lvlText w:val="●"/>
      <w:lvlJc w:val="left"/>
      <w:pPr>
        <w:ind w:left="2880" w:hanging="360"/>
      </w:pPr>
    </w:lvl>
    <w:lvl w:ilvl="4" w:tplc="31EECDB6">
      <w:start w:val="1"/>
      <w:numFmt w:val="bullet"/>
      <w:lvlText w:val="○"/>
      <w:lvlJc w:val="left"/>
      <w:pPr>
        <w:ind w:left="3600" w:hanging="360"/>
      </w:pPr>
    </w:lvl>
    <w:lvl w:ilvl="5" w:tplc="3CBEC0CA">
      <w:start w:val="1"/>
      <w:numFmt w:val="bullet"/>
      <w:lvlText w:val="■"/>
      <w:lvlJc w:val="left"/>
      <w:pPr>
        <w:ind w:left="4320" w:hanging="360"/>
      </w:pPr>
    </w:lvl>
    <w:lvl w:ilvl="6" w:tplc="8CB0CEEC">
      <w:start w:val="1"/>
      <w:numFmt w:val="bullet"/>
      <w:lvlText w:val="●"/>
      <w:lvlJc w:val="left"/>
      <w:pPr>
        <w:ind w:left="5040" w:hanging="360"/>
      </w:pPr>
    </w:lvl>
    <w:lvl w:ilvl="7" w:tplc="F23C6F4E">
      <w:start w:val="1"/>
      <w:numFmt w:val="bullet"/>
      <w:lvlText w:val="●"/>
      <w:lvlJc w:val="left"/>
      <w:pPr>
        <w:ind w:left="5760" w:hanging="360"/>
      </w:pPr>
    </w:lvl>
    <w:lvl w:ilvl="8" w:tplc="69B60378">
      <w:start w:val="1"/>
      <w:numFmt w:val="bullet"/>
      <w:lvlText w:val="●"/>
      <w:lvlJc w:val="left"/>
      <w:pPr>
        <w:ind w:left="6480" w:hanging="360"/>
      </w:pPr>
    </w:lvl>
  </w:abstractNum>
  <w:num w:numId="1" w16cid:durableId="172406300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displayBackgroundShape/>
  <w:proofState w:spelling="clean" w:grammar="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53102"/>
    <w:rsid w:val="002E785E"/>
    <w:rsid w:val="00687D97"/>
    <w:rsid w:val="006B32B3"/>
    <w:rsid w:val="007A66B0"/>
    <w:rsid w:val="00853102"/>
    <w:rsid w:val="00992D67"/>
    <w:rsid w:val="00D84B77"/>
    <w:rsid w:val="00E17398"/>
    <w:rsid w:val="00EB2EB5"/>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decimalSymbol w:val=","/>
  <w:listSeparator w:val=";"/>
  <w14:docId w14:val="7E6F5CF3"/>
  <w15:docId w15:val="{CDEB53C8-81B8-B748-8D19-013B17D0AB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da-DK" w:eastAsia="da-D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Overskrift1">
    <w:name w:val="heading 1"/>
    <w:uiPriority w:val="9"/>
    <w:qFormat/>
    <w:pPr>
      <w:spacing w:before="480" w:after="200"/>
      <w:outlineLvl w:val="0"/>
    </w:pPr>
    <w:rPr>
      <w:rFonts w:ascii="Arial" w:eastAsia="Arial" w:hAnsi="Arial" w:cs="Arial"/>
      <w:b/>
      <w:bCs/>
      <w:color w:val="1F3864"/>
      <w:sz w:val="28"/>
      <w:szCs w:val="28"/>
    </w:rPr>
  </w:style>
  <w:style w:type="paragraph" w:styleId="Overskrift2">
    <w:name w:val="heading 2"/>
    <w:uiPriority w:val="9"/>
    <w:unhideWhenUsed/>
    <w:qFormat/>
    <w:pPr>
      <w:spacing w:before="320" w:after="160"/>
      <w:outlineLvl w:val="1"/>
    </w:pPr>
    <w:rPr>
      <w:rFonts w:ascii="Arial" w:eastAsia="Arial" w:hAnsi="Arial" w:cs="Arial"/>
      <w:b/>
      <w:bCs/>
      <w:i/>
      <w:iCs/>
      <w:color w:val="2E75B6"/>
    </w:rPr>
  </w:style>
  <w:style w:type="paragraph" w:styleId="Overskrift3">
    <w:name w:val="heading 3"/>
    <w:uiPriority w:val="9"/>
    <w:semiHidden/>
    <w:unhideWhenUsed/>
    <w:qFormat/>
    <w:pPr>
      <w:outlineLvl w:val="2"/>
    </w:pPr>
    <w:rPr>
      <w:color w:val="1F4D78"/>
    </w:rPr>
  </w:style>
  <w:style w:type="paragraph" w:styleId="Overskrift4">
    <w:name w:val="heading 4"/>
    <w:uiPriority w:val="9"/>
    <w:semiHidden/>
    <w:unhideWhenUsed/>
    <w:qFormat/>
    <w:pPr>
      <w:outlineLvl w:val="3"/>
    </w:pPr>
    <w:rPr>
      <w:i/>
      <w:iCs/>
      <w:color w:val="2E74B5"/>
    </w:rPr>
  </w:style>
  <w:style w:type="paragraph" w:styleId="Overskrift5">
    <w:name w:val="heading 5"/>
    <w:uiPriority w:val="9"/>
    <w:semiHidden/>
    <w:unhideWhenUsed/>
    <w:qFormat/>
    <w:pPr>
      <w:outlineLvl w:val="4"/>
    </w:pPr>
    <w:rPr>
      <w:color w:val="2E74B5"/>
    </w:rPr>
  </w:style>
  <w:style w:type="paragraph" w:styleId="Overskrift6">
    <w:name w:val="heading 6"/>
    <w:uiPriority w:val="9"/>
    <w:semiHidden/>
    <w:unhideWhenUsed/>
    <w:qFormat/>
    <w:pPr>
      <w:outlineLvl w:val="5"/>
    </w:pPr>
    <w:rPr>
      <w:color w:val="1F4D78"/>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Titel">
    <w:name w:val="Title"/>
    <w:uiPriority w:val="10"/>
    <w:qFormat/>
    <w:rPr>
      <w:sz w:val="56"/>
      <w:szCs w:val="56"/>
    </w:rPr>
  </w:style>
  <w:style w:type="paragraph" w:customStyle="1" w:styleId="Strk1">
    <w:name w:val="Stærk1"/>
    <w:qFormat/>
    <w:rPr>
      <w:b/>
      <w:bCs/>
    </w:rPr>
  </w:style>
  <w:style w:type="paragraph" w:styleId="Listeafsnit">
    <w:name w:val="List Paragraph"/>
    <w:qFormat/>
  </w:style>
  <w:style w:type="character" w:styleId="Hyperlink">
    <w:name w:val="Hyperlink"/>
    <w:uiPriority w:val="99"/>
    <w:unhideWhenUsed/>
    <w:rPr>
      <w:color w:val="0563C1"/>
      <w:u w:val="single"/>
    </w:rPr>
  </w:style>
  <w:style w:type="character" w:styleId="Fodnotehenvisning">
    <w:name w:val="footnote reference"/>
    <w:uiPriority w:val="99"/>
    <w:semiHidden/>
    <w:unhideWhenUsed/>
    <w:rPr>
      <w:vertAlign w:val="superscript"/>
    </w:rPr>
  </w:style>
  <w:style w:type="paragraph" w:styleId="Fodnotetekst">
    <w:name w:val="footnote text"/>
    <w:link w:val="FodnotetekstTegn"/>
    <w:uiPriority w:val="99"/>
    <w:semiHidden/>
    <w:unhideWhenUsed/>
    <w:rPr>
      <w:sz w:val="20"/>
      <w:szCs w:val="20"/>
    </w:rPr>
  </w:style>
  <w:style w:type="character" w:customStyle="1" w:styleId="FodnotetekstTegn">
    <w:name w:val="Fodnotetekst Tegn"/>
    <w:link w:val="Fodnotetekst"/>
    <w:uiPriority w:val="99"/>
    <w:semiHidden/>
    <w:unhideWhenUsed/>
    <w:rPr>
      <w:sz w:val="20"/>
      <w:szCs w:val="20"/>
    </w:rPr>
  </w:style>
  <w:style w:type="paragraph" w:styleId="Sidehoved">
    <w:name w:val="header"/>
    <w:basedOn w:val="Normal"/>
    <w:link w:val="SidehovedTegn"/>
    <w:uiPriority w:val="99"/>
    <w:unhideWhenUsed/>
    <w:rsid w:val="007A66B0"/>
    <w:pPr>
      <w:tabs>
        <w:tab w:val="center" w:pos="4819"/>
        <w:tab w:val="right" w:pos="9638"/>
      </w:tabs>
    </w:pPr>
  </w:style>
  <w:style w:type="character" w:customStyle="1" w:styleId="SidehovedTegn">
    <w:name w:val="Sidehoved Tegn"/>
    <w:basedOn w:val="Standardskrifttypeiafsnit"/>
    <w:link w:val="Sidehoved"/>
    <w:uiPriority w:val="99"/>
    <w:rsid w:val="007A66B0"/>
  </w:style>
  <w:style w:type="paragraph" w:styleId="Sidefod">
    <w:name w:val="footer"/>
    <w:basedOn w:val="Normal"/>
    <w:link w:val="SidefodTegn"/>
    <w:uiPriority w:val="99"/>
    <w:unhideWhenUsed/>
    <w:rsid w:val="007A66B0"/>
    <w:pPr>
      <w:tabs>
        <w:tab w:val="center" w:pos="4819"/>
        <w:tab w:val="right" w:pos="9638"/>
      </w:tabs>
    </w:pPr>
  </w:style>
  <w:style w:type="character" w:customStyle="1" w:styleId="SidefodTegn">
    <w:name w:val="Sidefod Tegn"/>
    <w:basedOn w:val="Standardskrifttypeiafsnit"/>
    <w:link w:val="Sidefod"/>
    <w:uiPriority w:val="99"/>
    <w:rsid w:val="007A66B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10</TotalTime>
  <Pages>11</Pages>
  <Words>3284</Words>
  <Characters>20170</Characters>
  <Application>Microsoft Office Word</Application>
  <DocSecurity>0</DocSecurity>
  <Lines>319</Lines>
  <Paragraphs>98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23384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Airo Bjarking</cp:lastModifiedBy>
  <cp:revision>5</cp:revision>
  <dcterms:created xsi:type="dcterms:W3CDTF">2026-03-27T11:29:00Z</dcterms:created>
  <dcterms:modified xsi:type="dcterms:W3CDTF">2026-03-27T12:08:00Z</dcterms:modified>
</cp:coreProperties>
</file>